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26 июня 2025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постановления объявлена 26 июня 2025 года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постановление составлено 26 июня 2025 года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№3 Ханты-Мансийского судебного района Ханты-Мансийского автономного округа-Югры Миненко Юлия Борисовна,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защитника БУ ХМАО-Югры «Окружная киническая больница» - Мурашовой А.С., действующей на основании доверенности №Д-14 от 23.06.2025,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мирового судьи судебного участка №3 Ханты-Мансийского судебного района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д.87/1 дело об административном правонарушении №5-761</w:t>
      </w:r>
      <w:r>
        <w:rPr>
          <w:rFonts w:ascii="Times New Roman" w:eastAsia="Times New Roman" w:hAnsi="Times New Roman" w:cs="Times New Roman"/>
          <w:sz w:val="28"/>
          <w:szCs w:val="28"/>
        </w:rPr>
        <w:t>-2803/2025, возбужденное по ч.12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ст.19.5 КоАП РФ в отношении юридического лица Бюджетное учреждение Ханты-Мансийского автономного округа-Югры «Окружная клиническая больница» (сокращенное наименование-БУ «Окружная клиническая больница», далее по тексту учреждение), ИНН:8601004445, ОГРН:1028600514360, законный представитель юридического лица –главный врач </w:t>
      </w:r>
      <w:r>
        <w:rPr>
          <w:rFonts w:ascii="Times New Roman" w:eastAsia="Times New Roman" w:hAnsi="Times New Roman" w:cs="Times New Roman"/>
          <w:sz w:val="28"/>
          <w:szCs w:val="28"/>
        </w:rPr>
        <w:t>Кутефа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Е.И., юридический адрес: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ул.Калинина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д.40, сведений о привлечении ранее к административной ответственности не представлено,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Бюджетное учреждение «Окружная клиническая больница», находящееся по месту регистрации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ул.Калинина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д.40, в срок до 24:00 час. 01.04.2025 не выполнило требования пунктов №№</w:t>
      </w:r>
      <w:r>
        <w:rPr>
          <w:rFonts w:ascii="Times New Roman" w:eastAsia="Times New Roman" w:hAnsi="Times New Roman" w:cs="Times New Roman"/>
          <w:sz w:val="28"/>
          <w:szCs w:val="28"/>
        </w:rPr>
        <w:t>4,5,</w:t>
      </w:r>
      <w:r>
        <w:rPr>
          <w:rFonts w:ascii="Times New Roman" w:eastAsia="Times New Roman" w:hAnsi="Times New Roman" w:cs="Times New Roman"/>
          <w:sz w:val="28"/>
          <w:szCs w:val="28"/>
        </w:rPr>
        <w:t>7,8 предписания №2303/171-86/5-П/ПВП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13.04.2023 об устранении нарушений обязательных требований пожарной безопасности, содержащихся в Федеральном законе от 22.07.2008 №123-ФЗ «Технический регламент о требованиях пожарной безопасности»,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Свод правил (далее СП) 486.1311500.2020 «Системы противопожарной защиты» «Перечень зданий, сооружений, помещений и оборудования, подлежащих защите автоматическими установками пожаротушения и системами пожарной сигнализации» «Требования пожарной безопасности», СП 484.1311500.2020 «Системы противопожарной защиты. Системы пожарной сигнализации и автоматизация систем противопожарной защиты. Нормы и правила проектирования», СП 5.13130.2009 «Системы противопожарной защиты. Установки пожарной сигнализации и пожаротушения автоматические. Нормы и правила проектирования», а именно на объекте защиты</w:t>
      </w:r>
      <w:r>
        <w:rPr>
          <w:rFonts w:ascii="Times New Roman" w:eastAsia="Times New Roman" w:hAnsi="Times New Roman" w:cs="Times New Roman"/>
          <w:sz w:val="28"/>
          <w:szCs w:val="28"/>
        </w:rPr>
        <w:t>, на котором осуществляется деятельность в сфере здравоохранения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«Инфекционный корпус на 90 коек ОКБ. 1 очередь» (Блок В)», расположенном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ул.Калинина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и, находящемся в оперативном управлении данного учреждения здравоохранения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-при формировании сигнала «пожар» не происходит автоматического включения системы оповещения и управления эвакуацией (на техническом этаже) </w:t>
      </w:r>
      <w:r>
        <w:rPr>
          <w:rFonts w:ascii="Times New Roman" w:eastAsia="Times New Roman" w:hAnsi="Times New Roman" w:cs="Times New Roman"/>
          <w:sz w:val="28"/>
          <w:szCs w:val="28"/>
        </w:rPr>
        <w:t>и автоматического открывания запоров дверей эвакуационных выходов (СКУД) на некоторых этажах (п.4 предписания)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-помещения №45 на 3 этаже, №№3,4,13, 69 на 1 этаже не защищены системой пожарной сигнализации (п.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 помещении с атриумом №59 высотой более 12 м. установлены точечные пожарные </w:t>
      </w:r>
      <w:r>
        <w:rPr>
          <w:rFonts w:ascii="Times New Roman" w:eastAsia="Times New Roman" w:hAnsi="Times New Roman" w:cs="Times New Roman"/>
          <w:sz w:val="28"/>
          <w:szCs w:val="28"/>
        </w:rPr>
        <w:t>извещатели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(п.7 предписания)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-ППКП установлен в помещении №58 (без круглосуточного пребывания дежурного персонала) без обеспечения раздельной передачи извещений о пожаре, неисправности, состоянии технических средств в помещении с персоналом, ведущим круглосуточное дежурство (п.8 предписания)</w:t>
      </w:r>
      <w:r>
        <w:rPr>
          <w:rFonts w:ascii="Times New Roman" w:eastAsia="Times New Roman" w:hAnsi="Times New Roman" w:cs="Times New Roman"/>
          <w:sz w:val="28"/>
          <w:szCs w:val="28"/>
        </w:rPr>
        <w:t>, чем 02.04.2025 совершило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онарушение, предусмотренное ч.12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Мурашова А.С.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нарушений правил пожарной безопасности не оспаривала, просила учесть финансовое и имущественное положение учреждения, которое достаточными денежными средствами для устранения всех пунктов предписания в установленный срок не располагает.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Учреждение оказывает платные услуги, но дохода от них недостаточно для того, чтобы привести объекты больницы в соответствии с требованиями пожарной безопасности. </w:t>
      </w:r>
      <w:r>
        <w:rPr>
          <w:rFonts w:ascii="Times New Roman" w:eastAsia="Times New Roman" w:hAnsi="Times New Roman" w:cs="Times New Roman"/>
          <w:sz w:val="28"/>
          <w:szCs w:val="28"/>
        </w:rPr>
        <w:t>Главный врач учреждения обращалась к учредителю с ходатайствами о выделении денежных средств для выполнения пунктов предписания, субсидия на мероприятие выделена лишь в мае 2024 года, 31.05.2024 между ОКБ и ИП Токаревым заключены контракты на выполнение противопожарных мероприятий, срок исполнения которых определен 25.12.2025. Кроме того, считает неправомерным составление в отношении ОКБ нескольких протоколов по одному объекту «Инфекционному корпусу», так как, на основании Распоряжения Департамента по управлению государственным имуществом ХМАО-Югры от 23.12.2022 объекты недвижимого имущества: инфекционный корпус на 90 коек (блок В), инфекционный корпус на 90 коек (Блок Б), инфекционный корпус на 90 коек 2 очередь (Блок А в осях 1-13) и инфекционный корпус 2 очередь (Блок А в осях с 13-19) объединены в единый объект с титулом «Инфекционный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корпус»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затем заменены на слова Единый объект с титулом «Больничный корпус». 04.05.2023 внесены соответствующие изменены в ЕРГН. Вместе с тем, протоколы по ст.19.5 КоАП РФ составлены по каждому корпусу. </w:t>
      </w:r>
      <w:r>
        <w:rPr>
          <w:rFonts w:ascii="Times New Roman" w:eastAsia="Times New Roman" w:hAnsi="Times New Roman" w:cs="Times New Roman"/>
          <w:sz w:val="28"/>
          <w:szCs w:val="28"/>
        </w:rPr>
        <w:t>Просила прекратить дело, в связи с отсутствием вины юридического лица.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Законный представитель юридического лица – главный врач </w:t>
      </w:r>
      <w:r>
        <w:rPr>
          <w:rFonts w:ascii="Times New Roman" w:eastAsia="Times New Roman" w:hAnsi="Times New Roman" w:cs="Times New Roman"/>
          <w:sz w:val="28"/>
          <w:szCs w:val="28"/>
        </w:rPr>
        <w:t>Кутефа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Е.И. до начала судебного заседания представила возражение на протокол, согласно которому окружная клиническая больница является бюджетным учреждением, финансирование которого осуществляется Департаментом здравоохранения ХМАО-Югры, объект защиты находится в оперативном управлении, финансовые средства, выделяемые Учреждению, имеют строго целевое назначение. Штатным расписанием Учреждения не предусмотрены и отсутствуют сотрудники. Которые могут произвести работы по установке систем противопожарной защиты, в связи с чем, учреждение вынуждено заключать государственные контракты со специализированными организациями. Учреждение вменяется в вину пассивное поведение, вместе с тем, начиная с 2019 года учреждение многократно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информировало Департамент здравоохранения о неисправности оборудования систем пожарной безопасности с просьбой выделить средства на цели обеспечения комплексной безопасности. При этом в соглашении №585 от 26.12.2023 «О порядке и условиях предоставления субсидии из бюджета ХМАО-Югры, мероприятие 52.27.03 (на цели обеспечения комплексной безопасности) отсутствовало. Субсидия на данное мероприятие выделена лишь в мае 2024 г. Учреждение 31.05.2024 заключило контракты с ИП Токаревым, срок выполнения которых определен 25.12.2025. Учреждение приняло все возможные меры к устранению допущенных нарушений, следовательно, отс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утствует состав правонарушения. </w:t>
      </w:r>
      <w:r>
        <w:rPr>
          <w:rFonts w:ascii="Times New Roman" w:eastAsia="Times New Roman" w:hAnsi="Times New Roman" w:cs="Times New Roman"/>
          <w:sz w:val="28"/>
          <w:szCs w:val="28"/>
        </w:rPr>
        <w:t>Кроме того, считает неправомерным составление в отношении ОКБ нескольких протоколов по одному объекту «Инфекционному корпусу», так как, на основании Распоряжения Департамента по управлению государственным имуществом ХМАО-Югры от 23.12.2022 объекты недвижимого имущества: инфекционный корпус на 90 коек (блок В), инфекционный корпус на 90 коек (Блок Б), инфекционный корпус на 90 коек 2 очередь (Блок А в осях 1-13) и инфекционный корпус 2 очередь (Блок А в осях с 13-19) объединены в единый объект с титулом «Инфекционный корпус», затем заменены на слова Единый объект с титулом «Больничный корпус». 04.05.2023 внесены соответствующие изменены в ЕРГН. Вместе с тем, протоколы по ст.19.5 КоАП РФ составлены по каждому корпусу.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прекратить.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защитника, изучив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19.5 КоАП РФ предусмотрена административная ответственность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 установленный срок законного предписания органа, осуществляющего федеральный государственный пожарный надзор.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следует,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.04.2023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 «Окружная клиническая больница»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выдано предписание </w:t>
      </w:r>
      <w:r>
        <w:rPr>
          <w:rFonts w:ascii="Times New Roman" w:eastAsia="Times New Roman" w:hAnsi="Times New Roman" w:cs="Times New Roman"/>
          <w:sz w:val="28"/>
          <w:szCs w:val="28"/>
        </w:rPr>
        <w:t>№2303/171</w:t>
      </w:r>
      <w:r>
        <w:rPr>
          <w:rFonts w:ascii="Times New Roman" w:eastAsia="Times New Roman" w:hAnsi="Times New Roman" w:cs="Times New Roman"/>
          <w:sz w:val="28"/>
          <w:szCs w:val="28"/>
        </w:rPr>
        <w:t>/-86/5</w:t>
      </w:r>
      <w:r>
        <w:rPr>
          <w:rFonts w:ascii="Times New Roman" w:eastAsia="Times New Roman" w:hAnsi="Times New Roman" w:cs="Times New Roman"/>
          <w:sz w:val="28"/>
          <w:szCs w:val="28"/>
        </w:rPr>
        <w:t>-П/П</w:t>
      </w:r>
      <w:r>
        <w:rPr>
          <w:rFonts w:ascii="Times New Roman" w:eastAsia="Times New Roman" w:hAnsi="Times New Roman" w:cs="Times New Roman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устранению нарушений обязательных 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ебований пожарной безопасности,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для исполнения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01.04.2024, который решением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пожнадзора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26.03.2024 </w:t>
      </w:r>
      <w:r>
        <w:rPr>
          <w:rFonts w:ascii="Times New Roman" w:eastAsia="Times New Roman" w:hAnsi="Times New Roman" w:cs="Times New Roman"/>
          <w:sz w:val="28"/>
          <w:szCs w:val="28"/>
        </w:rPr>
        <w:t>продлен до 01.04.2025.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.05.2025 по итогам проведения внеплановой выездной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акт №2504/015-86/59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-В/АВП, которым установлено невыполнение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>пунктов №№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,7,8 предписания №2303/171-86/5</w:t>
      </w:r>
      <w:r>
        <w:rPr>
          <w:rFonts w:ascii="Times New Roman" w:eastAsia="Times New Roman" w:hAnsi="Times New Roman" w:cs="Times New Roman"/>
          <w:sz w:val="28"/>
          <w:szCs w:val="28"/>
        </w:rPr>
        <w:t>-П/ПВП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13.04.2023,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выразившихся в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на объекте защиты</w:t>
      </w:r>
      <w:r>
        <w:rPr>
          <w:rFonts w:ascii="Times New Roman" w:eastAsia="Times New Roman" w:hAnsi="Times New Roman" w:cs="Times New Roman"/>
          <w:sz w:val="28"/>
          <w:szCs w:val="28"/>
        </w:rPr>
        <w:t>, на котором осуществляется деятельность в сфере здравоохранения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«Инфек</w:t>
      </w:r>
      <w:r>
        <w:rPr>
          <w:rFonts w:ascii="Times New Roman" w:eastAsia="Times New Roman" w:hAnsi="Times New Roman" w:cs="Times New Roman"/>
          <w:sz w:val="28"/>
          <w:szCs w:val="28"/>
        </w:rPr>
        <w:t>ционный корпус на 90 коек ОКБ. 1 очередь» (Блок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)»,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ул.Калинина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находящемся в оперативном управлении данного учреждения здравоохранения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 формировании сигнала «пожар» не происходит автоматического включения системы оповещения и управления эвакуацией (на техническом этаже) и автоматического открывания запоров дверей эвакуационных выходов (СКУД) на некоторых этажах (п.4 предписания)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-помещения №45 на 3 этаже, №№3,4,13, 69 на 1 этаже не защищены системой пожарной сигнализации (п.5 предписания)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 помещении с атриумом №59 высотой более 12 м. установлены точечные пожарные </w:t>
      </w:r>
      <w:r>
        <w:rPr>
          <w:rFonts w:ascii="Times New Roman" w:eastAsia="Times New Roman" w:hAnsi="Times New Roman" w:cs="Times New Roman"/>
          <w:sz w:val="28"/>
          <w:szCs w:val="28"/>
        </w:rPr>
        <w:t>извещатели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(п.7 предписания)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-ППКП установлен в помещении №58 (без круглосуточного пребывания дежурного персонала) без обеспечения раздельной передачи извещений о пожаре, неисправности, состоянии технических средств в помещении с персоналом, ведущим круглосуточное дежурство (п.8 предписания)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Фактические обстоятельства дела подтверждаются протоколом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№2504-86-015-00073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/6/1 от </w:t>
      </w:r>
      <w:r>
        <w:rPr>
          <w:rFonts w:ascii="Times New Roman" w:eastAsia="Times New Roman" w:hAnsi="Times New Roman" w:cs="Times New Roman"/>
          <w:sz w:val="28"/>
          <w:szCs w:val="28"/>
        </w:rPr>
        <w:t>29.05.2025</w:t>
      </w:r>
      <w:r>
        <w:rPr>
          <w:rFonts w:ascii="Times New Roman" w:eastAsia="Times New Roman" w:hAnsi="Times New Roman" w:cs="Times New Roman"/>
          <w:sz w:val="28"/>
          <w:szCs w:val="28"/>
        </w:rPr>
        <w:t>; решением о проведении вне</w:t>
      </w:r>
      <w:r>
        <w:rPr>
          <w:rFonts w:ascii="Times New Roman" w:eastAsia="Times New Roman" w:hAnsi="Times New Roman" w:cs="Times New Roman"/>
          <w:sz w:val="28"/>
          <w:szCs w:val="28"/>
        </w:rPr>
        <w:t>плановой выездной проверки от 18</w:t>
      </w:r>
      <w:r>
        <w:rPr>
          <w:rFonts w:ascii="Times New Roman" w:eastAsia="Times New Roman" w:hAnsi="Times New Roman" w:cs="Times New Roman"/>
          <w:sz w:val="28"/>
          <w:szCs w:val="28"/>
        </w:rPr>
        <w:t>.04.2025; актом вне</w:t>
      </w:r>
      <w:r>
        <w:rPr>
          <w:rFonts w:ascii="Times New Roman" w:eastAsia="Times New Roman" w:hAnsi="Times New Roman" w:cs="Times New Roman"/>
          <w:sz w:val="28"/>
          <w:szCs w:val="28"/>
        </w:rPr>
        <w:t>плановой выездной проверки от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.05.2025;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предписанием №2504/015-86/59-В/ПВП от 15</w:t>
      </w:r>
      <w:r>
        <w:rPr>
          <w:rFonts w:ascii="Times New Roman" w:eastAsia="Times New Roman" w:hAnsi="Times New Roman" w:cs="Times New Roman"/>
          <w:sz w:val="28"/>
          <w:szCs w:val="28"/>
        </w:rPr>
        <w:t>.05.2025 об устранении нарушений требований пожарной безопа</w:t>
      </w:r>
      <w:r>
        <w:rPr>
          <w:rFonts w:ascii="Times New Roman" w:eastAsia="Times New Roman" w:hAnsi="Times New Roman" w:cs="Times New Roman"/>
          <w:sz w:val="28"/>
          <w:szCs w:val="28"/>
        </w:rPr>
        <w:t>сности; протоколом осмотра от 15</w:t>
      </w:r>
      <w:r>
        <w:rPr>
          <w:rFonts w:ascii="Times New Roman" w:eastAsia="Times New Roman" w:hAnsi="Times New Roman" w:cs="Times New Roman"/>
          <w:sz w:val="28"/>
          <w:szCs w:val="28"/>
        </w:rPr>
        <w:t>.05.2025; протоколом инст</w:t>
      </w:r>
      <w:r>
        <w:rPr>
          <w:rFonts w:ascii="Times New Roman" w:eastAsia="Times New Roman" w:hAnsi="Times New Roman" w:cs="Times New Roman"/>
          <w:sz w:val="28"/>
          <w:szCs w:val="28"/>
        </w:rPr>
        <w:t>рументального обследования от 15</w:t>
      </w:r>
      <w:r>
        <w:rPr>
          <w:rFonts w:ascii="Times New Roman" w:eastAsia="Times New Roman" w:hAnsi="Times New Roman" w:cs="Times New Roman"/>
          <w:sz w:val="28"/>
          <w:szCs w:val="28"/>
        </w:rPr>
        <w:t>.05.2025; заявлением о согласовании с прокурором проведения внепланового контрольного мероприятия от 16.04.2025; мотивированным представлением (рапортом) о необходимости проведения прове</w:t>
      </w:r>
      <w:r>
        <w:rPr>
          <w:rFonts w:ascii="Times New Roman" w:eastAsia="Times New Roman" w:hAnsi="Times New Roman" w:cs="Times New Roman"/>
          <w:sz w:val="28"/>
          <w:szCs w:val="28"/>
        </w:rPr>
        <w:t>рки исполнения предписания от 18</w:t>
      </w:r>
      <w:r>
        <w:rPr>
          <w:rFonts w:ascii="Times New Roman" w:eastAsia="Times New Roman" w:hAnsi="Times New Roman" w:cs="Times New Roman"/>
          <w:sz w:val="28"/>
          <w:szCs w:val="28"/>
        </w:rPr>
        <w:t>.04.2025; копией решения прокурора о результатах рассмотрения о согласовании проведения внепланового контрольного (надзорного) мероприятия; копией предписания об устранении нарушений обязательных требований пожа</w:t>
      </w:r>
      <w:r>
        <w:rPr>
          <w:rFonts w:ascii="Times New Roman" w:eastAsia="Times New Roman" w:hAnsi="Times New Roman" w:cs="Times New Roman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№2303/171-86/5-П/П</w:t>
      </w:r>
      <w:r>
        <w:rPr>
          <w:rFonts w:ascii="Times New Roman" w:eastAsia="Times New Roman" w:hAnsi="Times New Roman" w:cs="Times New Roman"/>
          <w:sz w:val="28"/>
          <w:szCs w:val="28"/>
        </w:rPr>
        <w:t>ВП от 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.04.2023; </w:t>
      </w:r>
      <w:r>
        <w:rPr>
          <w:rFonts w:ascii="Times New Roman" w:eastAsia="Times New Roman" w:hAnsi="Times New Roman" w:cs="Times New Roman"/>
          <w:sz w:val="28"/>
          <w:szCs w:val="28"/>
        </w:rPr>
        <w:t>копией заключения №З-368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/2025 от 07.05.2025 по результатам испытаний (исследований) и измерений в области пожарной безопасности,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о продлении исполнения предписания от 26.03.2024; </w:t>
      </w:r>
      <w:r>
        <w:rPr>
          <w:rFonts w:ascii="Times New Roman" w:eastAsia="Times New Roman" w:hAnsi="Times New Roman" w:cs="Times New Roman"/>
          <w:sz w:val="28"/>
          <w:szCs w:val="28"/>
        </w:rPr>
        <w:t>копией выписки из ЕГРЮЛ в отношении БУ «Окружная клиническая больница».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ст.2.1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Материалы дела свидетельствуют о том, что юридическим лицом БУ «Окружная клиническая больница» не приняты все зависящие от него меры по надлежащему выполнению в полном объеме предписания об устранении нарушений обязательных требований пожарной безопасности в установленный срок.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Представленная главным врачом переписка с Департаментом здравоохранения ХМАО-Югры и КУ «Центр медицины катастроф», согласно которой Учреждение после вынесения 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14.07.2024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19.07.2024 обращалось в Департамент здравоохранения округа и в КУ «Центр медицины катастроф» с просьбой к Департаменту о выделении дополнительного финансирования на реализацию замены автоматической пожарной сигнализации на объектах БУ «Окружная клиническая больница» и к Центру медицины катастроф об оказании содействия в выделении финансирования для реализации данных мероприятий, не свидетельствует о принятии всех возможных мер для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исполнения предписания и устранения обязательных требований пожарной безопасности.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этом, суд отмечает, что данные письма носят формальный характер, не содержат расчетов о необходимых затратах для устранения пунктов выявленных нарушений, содержащихся в предписании от 14.04.2023.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выписке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ЕГРЮЛ учредителями БУ «Окружная клиническая больница» являются как Департамент здравоохранения так и Департамент государственной собственности ХМАО-Югры, при этом, каких-либо мотивированных писем в адрес Департамента государственной собственности округа Учреждением не направлялось, как и в адрес Правительства и Губернатора автономного округа.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указывают на бездействие юридического лица при исполнении 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>пожнадзора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 факт недостаточности финансирования не является основанием для невыполнения законного предписания органа, осуществляющего государственный пожарный надзор. При этом,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пояснения</w:t>
      </w:r>
      <w:r>
        <w:rPr>
          <w:rFonts w:ascii="Times New Roman" w:eastAsia="Times New Roman" w:hAnsi="Times New Roman" w:cs="Times New Roman"/>
          <w:sz w:val="28"/>
          <w:szCs w:val="28"/>
        </w:rPr>
        <w:t>м защитника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больница оказывает платные услуги, доходы от которых</w:t>
      </w:r>
      <w:r>
        <w:rPr>
          <w:rFonts w:ascii="Times New Roman" w:eastAsia="Times New Roman" w:hAnsi="Times New Roman" w:cs="Times New Roman"/>
          <w:sz w:val="28"/>
          <w:szCs w:val="28"/>
        </w:rPr>
        <w:t>, по мнению суда,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могли быть направлены на устранение нарушений обязательных требований пожарной безопасности.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о неправомерности составления 4-х протоколов по ст.19.5 КоАП РФ по одному объекту «инфекционный корпус» суд находит несостоятельными, так как, протоколы об административных правонарушениях, предусмотренные ст.19.5 КоАП РФ, составлены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пожнадзором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невыполнение отдельных предписаний.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Оценив, представленные доказательства, в их совокупности, суд находит их допустимыми и приходит к выводу, что обстоятельства, изложенные в протоколе об административном правонарушении, иных материалах дела не противоречат друг другу, оснований не доверять сведениям, указанным в них, не имеется, протокол составлен уполномоченным должностным лицом в соответствии с требованиями КоАП РФ, нарушений процессуальных требований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возможность привлечения БУ «Окружная клиническая больница» к административной ответственности,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Бездействие БУ «Окружная клиническая больница» 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квалифицирует по ч.12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ст.19.5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 установленный срок законного предписания органа, осуществляющего федеральный государственный пожарный надзор.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административное правонарушение, в соответствии с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4" w:anchor="/document/12125267/entry/41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административного правонарушения, предусмотренного </w:t>
      </w:r>
      <w:hyperlink r:id="rId4" w:anchor="/document/12125267/entry/195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ч.12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ст.19.5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наложения административного штрафа от </w:t>
      </w:r>
      <w:r>
        <w:rPr>
          <w:rFonts w:ascii="Times New Roman" w:eastAsia="Times New Roman" w:hAnsi="Times New Roman" w:cs="Times New Roman"/>
          <w:sz w:val="28"/>
          <w:szCs w:val="28"/>
        </w:rPr>
        <w:t>семидесяти тысяч до восьмидесяти тысяч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мотрено соответствующей статьей </w:t>
      </w:r>
      <w:hyperlink r:id="rId4" w:anchor="/document/12125267/entry/2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раздела II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4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3.4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за исключением случаев, предусмотренных частью 2 настоящей статьи (</w:t>
      </w:r>
      <w:hyperlink r:id="rId4" w:anchor="/document/12125267/entry/41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ст.4.1.1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положений </w:t>
      </w:r>
      <w:hyperlink r:id="rId4" w:anchor="/document/12125267/entry/41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ч.2 ст.4.1.1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4" w:anchor="/document/12125267/entry/1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13.15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33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13.37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4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14.31 - 14.33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45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14.56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5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15.21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527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15.27.3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5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19.8 - 19.8.2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19.23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27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4" w:anchor="/document/12125267/entry/1927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 статьи 19.27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19.28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2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19.29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19.30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0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3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19.34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2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20280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20.28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оснований для замены штрафа предупреждением у суда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267/entry/2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ст.2.9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 (</w:t>
      </w:r>
      <w:hyperlink r:id="rId4" w:anchor="/document/12139487/entry/21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абз.3 п.21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24.03.2005 №5 «О некоторых вопросах, возникших у судов при применении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правовой позиции, высказанной Конституционным Судом Российской Федерации в </w:t>
      </w:r>
      <w:hyperlink r:id="rId4" w:anchor="/document/71332962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17.02.2016 №5-П, относительно правомочия суда признать административное правонарушение малозначительным и, соответственно, освободить совершившее его лицо от административной ответственности (</w:t>
      </w:r>
      <w:hyperlink r:id="rId4" w:anchor="/document/12125267/entry/2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 2.9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правонарушениях), то такой способ обеспечения справедливости административного наказания и его соразмерности правонарушающему деянию можно считать оправданным лишь при условии, что это деяние с учетом его характера, личности правонарушителя и тяжести наступивших последствий хотя </w:t>
      </w:r>
      <w:r>
        <w:rPr>
          <w:rFonts w:ascii="Times New Roman" w:eastAsia="Times New Roman" w:hAnsi="Times New Roman" w:cs="Times New Roman"/>
          <w:sz w:val="28"/>
          <w:szCs w:val="28"/>
        </w:rPr>
        <w:t>формально и содержит признаки состава административного правонарушения, но не причиняет существенного ущерба охраняемым общественным отношениям.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использование такой возможности всякий раз, когда правоприменительный орган считает наказание несоразмерным, способствовало бы, как отмечал Конституционный Суд Российской Федерации в </w:t>
      </w:r>
      <w:hyperlink r:id="rId4" w:anchor="/document/70299954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постановлениях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17.01.2013 №1-П и от 25.02.2014 №</w:t>
      </w:r>
      <w:hyperlink r:id="rId4" w:anchor="/document/70599182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4-П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формированию атмосферы безнаказанности, несовместимой с принципом неотвратимости ответственности, вытекающим из </w:t>
      </w:r>
      <w:hyperlink r:id="rId4" w:anchor="/document/10103000/entry/4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статей 4 (часть 2)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0103000/entry/15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 (часть 2)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4" w:anchor="/document/10103000/entry/19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 (части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4" w:anchor="/document/10103000/entry/19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Допущенные нарушения требований пожарной безопасности, на необходимость устранения которых было указано в предписании, могут повлечь негативные последствия, привести к недопустимому риску для жизни и здоровья людей на территории и в помещениях БУ «Окружная клиническая больница», в связи с чем, оснований для признания совершенного правонарушения малозначительным и освобождения юридического лица от административной ответственности на основании </w:t>
      </w:r>
      <w:hyperlink r:id="rId4" w:anchor="/document/12125267/entry/2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 «Окружная клиническая больница»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совершено правонарушение, посягающее на порядок управления. Обстоятельствами, смягчающими административную ответственность, являются признание вины в совершенном правонарушении, выполнение части пунктов предписания, принятие мер для устранения допущенных нарушений противопожарной безопасности, отягчающих административную ответственность,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суд считает возможным назначение </w:t>
      </w:r>
      <w:r>
        <w:rPr>
          <w:rFonts w:ascii="Times New Roman" w:eastAsia="Times New Roman" w:hAnsi="Times New Roman" w:cs="Times New Roman"/>
          <w:sz w:val="28"/>
          <w:szCs w:val="28"/>
        </w:rPr>
        <w:t>БУ «Окружная клиническая больница»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штрафа в минимальн</w:t>
      </w:r>
      <w:r>
        <w:rPr>
          <w:rFonts w:ascii="Times New Roman" w:eastAsia="Times New Roman" w:hAnsi="Times New Roman" w:cs="Times New Roman"/>
          <w:sz w:val="28"/>
          <w:szCs w:val="28"/>
        </w:rPr>
        <w:t>ом размере, предусмотренном ч.12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юридическое лицо БУ «Окружная клиническая больница» виновным в совершении административного право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нарушения, предусмотренного ч.12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ст.19.5 КоАП РФ, и назначить ему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штрафа в размере 7</w:t>
      </w:r>
      <w:r>
        <w:rPr>
          <w:rFonts w:ascii="Times New Roman" w:eastAsia="Times New Roman" w:hAnsi="Times New Roman" w:cs="Times New Roman"/>
          <w:sz w:val="28"/>
          <w:szCs w:val="28"/>
        </w:rPr>
        <w:t>0 000 (</w:t>
      </w:r>
      <w:r>
        <w:rPr>
          <w:rFonts w:ascii="Times New Roman" w:eastAsia="Times New Roman" w:hAnsi="Times New Roman" w:cs="Times New Roman"/>
          <w:sz w:val="28"/>
          <w:szCs w:val="28"/>
        </w:rPr>
        <w:t>семьдесят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007162163 ОКТМО 71871000 ИНН 8601073664 КПП 860101001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72011601193010005140 УИН: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0412365400725007612519135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через мирового судью, в течение 10 дней со дня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447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3F4EA-2D5E-439A-BB29-4276C8A3D01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